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5474335</wp:posOffset>
            </wp:positionH>
            <wp:positionV relativeFrom="paragraph">
              <wp:posOffset>40005</wp:posOffset>
            </wp:positionV>
            <wp:extent cx="1143000" cy="8763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hd w:fill="auto" w:val="clear"/>
        </w:rPr>
        <w:t>Индивидуальный предприниматель Лазарев Евгений Михайлович</w:t>
      </w:r>
    </w:p>
    <w:p>
      <w:pPr>
        <w:pStyle w:val="Normal"/>
        <w:spacing w:before="0" w:after="0"/>
        <w:rPr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 xml:space="preserve">620062, Свердловская обл, г Екатеринбург, ул Малышева, д 107, корп 2, кв 23 </w:t>
      </w:r>
    </w:p>
    <w:p>
      <w:pPr>
        <w:pStyle w:val="Normal"/>
        <w:spacing w:before="0" w:after="0"/>
        <w:rPr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 xml:space="preserve">Телефон: +79058077697 </w:t>
      </w:r>
    </w:p>
    <w:p>
      <w:pPr>
        <w:pStyle w:val="Normal"/>
        <w:spacing w:before="0" w:after="0"/>
        <w:rPr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 xml:space="preserve">Эл.почта: e.lazarev@1os.su </w:t>
      </w:r>
    </w:p>
    <w:p>
      <w:pPr>
        <w:pStyle w:val="Normal"/>
        <w:spacing w:before="0" w:after="0"/>
        <w:rPr>
          <w:shd w:fill="auto" w:val="clear"/>
        </w:rPr>
      </w:pPr>
      <w:r>
        <w:rPr>
          <w:color w:val="000000" w:themeColor="text1"/>
          <w:sz w:val="20"/>
          <w:szCs w:val="20"/>
          <w:shd w:fill="auto" w:val="clear"/>
        </w:rPr>
        <w:t>Сайт: http://www.1os.su</w:t>
      </w:r>
    </w:p>
    <w:p>
      <w:pPr>
        <w:pStyle w:val="Normal"/>
        <w:spacing w:lineRule="auto" w:line="240" w:before="200" w:after="200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  <w:shd w:fill="auto" w:val="clear"/>
        </w:rPr>
        <w:t>Образец заполнения платежного поручения</w:t>
      </w:r>
    </w:p>
    <w:tbl>
      <w:tblPr>
        <w:tblStyle w:val="a3"/>
        <w:tblW w:w="10598" w:type="dxa"/>
        <w:jc w:val="left"/>
        <w:tblInd w:w="-15" w:type="dxa"/>
        <w:tblCellMar>
          <w:top w:w="57" w:type="dxa"/>
          <w:left w:w="93" w:type="dxa"/>
          <w:bottom w:w="57" w:type="dxa"/>
          <w:right w:w="108" w:type="dxa"/>
        </w:tblCellMar>
        <w:tblLook w:val="0480"/>
      </w:tblPr>
      <w:tblGrid>
        <w:gridCol w:w="675"/>
        <w:gridCol w:w="2410"/>
        <w:gridCol w:w="709"/>
        <w:gridCol w:w="2551"/>
        <w:gridCol w:w="3"/>
        <w:gridCol w:w="848"/>
        <w:gridCol w:w="3"/>
        <w:gridCol w:w="3398"/>
      </w:tblGrid>
      <w:tr>
        <w:trPr/>
        <w:tc>
          <w:tcPr>
            <w:tcW w:w="6348" w:type="dxa"/>
            <w:gridSpan w:val="5"/>
            <w:vMerge w:val="restart"/>
            <w:tcBorders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БАНК "НЕЙВА" ООО г. ЕКАТЕРИНБУРГ</w:t>
            </w:r>
          </w:p>
        </w:tc>
        <w:tc>
          <w:tcPr>
            <w:tcW w:w="85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hd w:fill="auto" w:val="clear"/>
              </w:rPr>
              <w:t>БИК</w:t>
            </w:r>
          </w:p>
        </w:tc>
        <w:tc>
          <w:tcPr>
            <w:tcW w:w="3398" w:type="dxa"/>
            <w:tcBorders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046577774</w:t>
            </w:r>
          </w:p>
        </w:tc>
      </w:tr>
      <w:tr>
        <w:trPr/>
        <w:tc>
          <w:tcPr>
            <w:tcW w:w="6348" w:type="dxa"/>
            <w:gridSpan w:val="5"/>
            <w:vMerge w:val="continue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</w:rPr>
            </w:pPr>
            <w:r>
              <w:rPr>
                <w:color w:val="000000" w:themeColor="text1"/>
                <w:shd w:fill="auto" w:val="clear"/>
              </w:rPr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hd w:fill="auto" w:val="clear"/>
              </w:rPr>
              <w:t>Сч. №</w:t>
            </w:r>
          </w:p>
        </w:tc>
        <w:tc>
          <w:tcPr>
            <w:tcW w:w="339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30101810400000000774</w:t>
            </w:r>
          </w:p>
        </w:tc>
      </w:tr>
      <w:tr>
        <w:trPr/>
        <w:tc>
          <w:tcPr>
            <w:tcW w:w="6348" w:type="dxa"/>
            <w:gridSpan w:val="5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shd w:fill="auto" w:val="clear"/>
              </w:rP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  <w:tc>
          <w:tcPr>
            <w:tcW w:w="339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hd w:fill="auto" w:val="clear"/>
              </w:rPr>
              <w:t>ИНН</w:t>
            </w:r>
          </w:p>
        </w:tc>
        <w:tc>
          <w:tcPr>
            <w:tcW w:w="241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665840163861</w:t>
            </w:r>
          </w:p>
        </w:tc>
        <w:tc>
          <w:tcPr>
            <w:tcW w:w="70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hd w:fill="auto" w:val="clear"/>
              </w:rPr>
              <w:t>КПП</w:t>
            </w:r>
          </w:p>
        </w:tc>
        <w:tc>
          <w:tcPr>
            <w:tcW w:w="2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lang w:val="en-US"/>
              </w:rPr>
            </w:pPr>
            <w:r>
              <w:rPr>
                <w:shd w:fill="auto" w:val="clear"/>
              </w:rPr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  <w:shd w:fill="auto" w:val="clear"/>
              </w:rPr>
              <w:t>Сч. №</w:t>
            </w:r>
          </w:p>
        </w:tc>
        <w:tc>
          <w:tcPr>
            <w:tcW w:w="340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40802810700280008857</w:t>
            </w:r>
          </w:p>
        </w:tc>
      </w:tr>
      <w:tr>
        <w:trPr/>
        <w:tc>
          <w:tcPr>
            <w:tcW w:w="6348" w:type="dxa"/>
            <w:gridSpan w:val="5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shd w:fill="auto" w:val="clear"/>
              </w:rPr>
            </w:pPr>
            <w:r>
              <w:rPr>
                <w:color w:val="000000" w:themeColor="text1"/>
                <w:shd w:fill="auto" w:val="clear"/>
                <w:lang w:val="en-US"/>
              </w:rPr>
              <w:t>Индивидуальный предприниматель Лазарев Евгений Михайлович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  <w:tc>
          <w:tcPr>
            <w:tcW w:w="3398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</w:tr>
      <w:tr>
        <w:trPr/>
        <w:tc>
          <w:tcPr>
            <w:tcW w:w="6348" w:type="dxa"/>
            <w:gridSpan w:val="5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shd w:fill="auto" w:val="clear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  <w:tc>
          <w:tcPr>
            <w:tcW w:w="339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  <w:shd w:fill="auto" w:val="clear"/>
                <w:lang w:val="en-US"/>
              </w:rPr>
            </w:pPr>
            <w:r>
              <w:rPr>
                <w:color w:val="000000" w:themeColor="text1"/>
                <w:shd w:fill="auto" w:val="clear"/>
                <w:lang w:val="en-US"/>
              </w:rPr>
            </w:r>
          </w:p>
        </w:tc>
      </w:tr>
      <w:tr>
        <w:trPr/>
        <w:tc>
          <w:tcPr>
            <w:tcW w:w="10597" w:type="dxa"/>
            <w:gridSpan w:val="8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Arial" w:ascii="Verdana" w:hAnsi="Verdana"/>
                <w:color w:val="000000" w:themeColor="text1"/>
                <w:sz w:val="16"/>
                <w:szCs w:val="16"/>
                <w:lang w:eastAsia="ru-RU"/>
              </w:rPr>
              <w:t>Назначение платежа</w:t>
              <w:br/>
            </w:r>
            <w:r>
              <w:rPr>
                <w:rFonts w:eastAsia="Times New Roman" w:cs="Arial" w:ascii="Verdana" w:hAnsi="Verdana"/>
                <w:b/>
                <w:color w:val="000000" w:themeColor="text1"/>
                <w:sz w:val="16"/>
                <w:szCs w:val="16"/>
                <w:lang w:eastAsia="ru-RU"/>
              </w:rPr>
              <w:t>Оплата по сч. </w:t>
            </w:r>
            <w:r>
              <w:rPr>
                <w:rFonts w:eastAsia="Times New Roman" w:cs="Arial" w:ascii="Verdana" w:hAnsi="Verdana"/>
                <w:b/>
                <w:bCs/>
                <w:color w:val="000000" w:themeColor="text1"/>
                <w:sz w:val="16"/>
                <w:szCs w:val="16"/>
                <w:shd w:fill="FFFF00" w:val="clear"/>
                <w:lang w:eastAsia="ru-RU"/>
              </w:rPr>
              <w:t>{НомерДокумента}</w:t>
            </w:r>
            <w:r>
              <w:rPr>
                <w:rFonts w:eastAsia="Times New Roman" w:cs="Arial" w:ascii="Verdana" w:hAnsi="Verdana"/>
                <w:b/>
                <w:color w:val="000000" w:themeColor="text1"/>
                <w:sz w:val="16"/>
                <w:szCs w:val="16"/>
                <w:lang w:eastAsia="ru-RU"/>
              </w:rPr>
              <w:t xml:space="preserve"> от </w:t>
            </w:r>
            <w:r>
              <w:rPr>
                <w:rFonts w:eastAsia="Times New Roman" w:cs="Arial" w:ascii="Verdana" w:hAnsi="Verdana"/>
                <w:b/>
                <w:color w:val="000000" w:themeColor="text1"/>
                <w:sz w:val="16"/>
                <w:szCs w:val="16"/>
                <w:shd w:fill="FFFF00" w:val="clear"/>
                <w:lang w:eastAsia="ru-RU"/>
              </w:rPr>
              <w:t>{ДатаДокумента}</w:t>
            </w:r>
            <w:r>
              <w:rPr>
                <w:rFonts w:eastAsia="Times New Roman" w:cs="Arial" w:ascii="Verdana" w:hAnsi="Verdana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Arial" w:ascii="Verdana" w:hAnsi="Verdana"/>
                <w:b w:val="false"/>
                <w:bCs w:val="false"/>
                <w:color w:val="000000" w:themeColor="text1"/>
                <w:sz w:val="16"/>
                <w:szCs w:val="16"/>
                <w:lang w:eastAsia="ru-RU"/>
              </w:rPr>
              <w:t>за</w:t>
            </w:r>
            <w:r>
              <w:rPr>
                <w:rFonts w:eastAsia="Times New Roman" w:cs="Arial" w:ascii="Verdana" w:hAnsi="Verdana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Arial" w:ascii="Verdana" w:hAnsi="Verdana"/>
                <w:color w:val="000000" w:themeColor="text1"/>
                <w:sz w:val="16"/>
                <w:szCs w:val="16"/>
                <w:lang w:eastAsia="ru-RU"/>
              </w:rPr>
              <w:t>неисключительные права на использование ПО для ЭВМ по лицензионному договору,</w:t>
            </w:r>
            <w:r>
              <w:rPr>
                <w:rFonts w:eastAsia="Times New Roman" w:cs="Arial" w:ascii="Verdana" w:hAnsi="Verdana"/>
                <w:b/>
                <w:bCs/>
                <w:color w:val="000000" w:themeColor="text1"/>
                <w:sz w:val="16"/>
                <w:szCs w:val="16"/>
                <w:lang w:eastAsia="ru-RU"/>
              </w:rPr>
              <w:t>без налога (НДС)</w:t>
            </w:r>
          </w:p>
        </w:tc>
      </w:tr>
    </w:tbl>
    <w:p>
      <w:pPr>
        <w:pStyle w:val="Normal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</w:r>
    </w:p>
    <w:p>
      <w:pPr>
        <w:pStyle w:val="Normal"/>
        <w:jc w:val="center"/>
        <w:rPr>
          <w:b/>
          <w:b/>
          <w:color w:val="000000" w:themeColor="text1"/>
          <w:sz w:val="29"/>
          <w:szCs w:val="29"/>
        </w:rPr>
      </w:pPr>
      <w:r>
        <w:rPr>
          <w:b/>
          <w:color w:val="000000" w:themeColor="text1"/>
          <w:sz w:val="29"/>
          <w:szCs w:val="29"/>
        </w:rPr>
        <w:t xml:space="preserve">Счёт-оферта № </w:t>
      </w:r>
      <w:r>
        <w:rPr>
          <w:b/>
          <w:color w:val="000000" w:themeColor="text1"/>
          <w:sz w:val="29"/>
          <w:szCs w:val="29"/>
          <w:shd w:fill="FFFF00" w:val="clear"/>
        </w:rPr>
        <w:t>{НомерДокумента}</w:t>
      </w:r>
      <w:r>
        <w:rPr>
          <w:b/>
          <w:color w:val="000000" w:themeColor="text1"/>
          <w:sz w:val="29"/>
          <w:szCs w:val="29"/>
        </w:rPr>
        <w:t xml:space="preserve"> от </w:t>
      </w:r>
      <w:r>
        <w:rPr>
          <w:b/>
          <w:color w:val="000000" w:themeColor="text1"/>
          <w:sz w:val="29"/>
          <w:szCs w:val="29"/>
          <w:shd w:fill="FFFF00" w:val="clear"/>
        </w:rPr>
        <w:t>{ДатаДокумента}</w:t>
      </w:r>
    </w:p>
    <w:tbl>
      <w:tblPr>
        <w:tblStyle w:val="a3"/>
        <w:tblW w:w="1059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1244"/>
        <w:gridCol w:w="9353"/>
      </w:tblGrid>
      <w:tr>
        <w:trPr/>
        <w:tc>
          <w:tcPr>
            <w:tcW w:w="1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  <w:szCs w:val="18"/>
              </w:rPr>
              <w:t>Лицензиар: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color w:val="000000" w:themeColor="text1"/>
                <w:szCs w:val="18"/>
                <w:shd w:fill="FFFFFF" w:val="clear"/>
              </w:rPr>
              <w:t>ИП {ФИОИП}, {ИНН}</w:t>
            </w:r>
          </w:p>
        </w:tc>
      </w:tr>
      <w:tr>
        <w:trPr/>
        <w:tc>
          <w:tcPr>
            <w:tcW w:w="12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0000" w:themeColor="text1"/>
                <w:szCs w:val="18"/>
              </w:rPr>
              <w:t>Лицензиат:</w:t>
            </w:r>
          </w:p>
        </w:tc>
        <w:tc>
          <w:tcPr>
            <w:tcW w:w="93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>
                <w:color w:val="000000" w:themeColor="text1"/>
                <w:szCs w:val="18"/>
                <w:shd w:fill="FFFFFF" w:val="clear"/>
              </w:rPr>
              <w:t>{НазваниеКонтр}, {ИННКонтр}, {КППКонтр}, {</w:t>
            </w:r>
            <w:r>
              <w:rPr>
                <w:color w:val="000000" w:themeColor="text1"/>
                <w:szCs w:val="18"/>
                <w:shd w:fill="FFFFFF" w:val="clear"/>
                <w:lang w:val="en-US"/>
              </w:rPr>
              <w:t>АдресКонтр</w:t>
            </w:r>
            <w:r>
              <w:rPr>
                <w:color w:val="000000" w:themeColor="text1"/>
                <w:szCs w:val="18"/>
                <w:shd w:fill="FFFFFF" w:val="clear"/>
              </w:rPr>
              <w:t>}</w:t>
            </w:r>
          </w:p>
        </w:tc>
      </w:tr>
    </w:tbl>
    <w:p>
      <w:pPr>
        <w:pStyle w:val="Normal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br/>
      </w:r>
      <w:r>
        <w:rPr>
          <w:color w:val="000000" w:themeColor="text1"/>
          <w:szCs w:val="18"/>
          <w:shd w:fill="FFFF00" w:val="clear"/>
        </w:rPr>
        <w:t>{ФактурнаяЧасть}</w:t>
      </w:r>
    </w:p>
    <w:p>
      <w:pPr>
        <w:pStyle w:val="Normal"/>
        <w:keepNext/>
        <w:keepLines/>
        <w:spacing w:lineRule="auto" w:line="240" w:before="30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Всего к оплате: </w:t>
      </w:r>
      <w:r>
        <w:rPr>
          <w:color w:val="000000" w:themeColor="text1"/>
          <w:sz w:val="20"/>
          <w:szCs w:val="20"/>
          <w:shd w:fill="FFFF00" w:val="clear"/>
        </w:rPr>
        <w:t>{СуммаДокументаПрописью}</w:t>
      </w:r>
      <w:r>
        <w:rPr>
          <w:color w:val="000000" w:themeColor="text1"/>
          <w:sz w:val="20"/>
          <w:szCs w:val="20"/>
        </w:rPr>
        <w:t>.</w:t>
      </w:r>
    </w:p>
    <w:p>
      <w:pPr>
        <w:pStyle w:val="Normal"/>
        <w:keepNext/>
        <w:spacing w:lineRule="auto" w:line="240"/>
        <w:rPr/>
      </w:pPr>
      <w:r>
        <w:rPr/>
        <mc:AlternateContent>
          <mc:Choice Requires="wps">
            <w:drawing>
              <wp:inline distT="0" distB="0" distL="0" distR="0">
                <wp:extent cx="3175" cy="228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22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black" stroked="f" style="position:absolute;margin-left:0pt;margin-top:0pt;width:0.15pt;height:1.7pt">
                <w10:wrap type="none"/>
                <v:fill type="solid" color2="white" o:detectmouseclick="t"/>
                <v:stroke color="#3465a4" joinstyle="round" endcap="flat"/>
              </v:rect>
            </w:pict>
          </mc:Fallback>
        </mc:AlternateContent>
      </w:r>
      <w:r>
        <w:rPr>
          <w:color w:val="000000" w:themeColor="text1"/>
          <w:szCs w:val="18"/>
        </w:rPr>
        <w:br/>
        <w:br/>
      </w:r>
      <w:r>
        <w:rPr>
          <w:color w:val="000000" w:themeColor="text1"/>
          <w:szCs w:val="18"/>
          <w:shd w:fill="FFFF00" w:val="clear"/>
        </w:rPr>
        <w:t>{Комментарий}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Настоящий Счет-оферта (далее – «Счет») является письменным предложением (офертой) Лицензиара заключить лицензионный договор, которое направляется Лицензиату в соответствии со ст.432-444 Гражданского Кодекса РФ (далее – «ГК РФ»). Лицензионный договор (неисключительная лицензия) заключается путем принятия (акцепта) оферты Лицензиатом в установленном порядке (п.3 ст.438 ГК РФ), что считается соблюдением письменной формы договора (п.3 ст.434 ГК РФ). Под указанными в оферте следующими терминами понимаются их нижеуказанные значения: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/>
          <w:color w:val="000000"/>
          <w:sz w:val="12"/>
          <w:szCs w:val="12"/>
          <w:lang w:eastAsia="ru-RU"/>
        </w:rPr>
        <w:t xml:space="preserve">Правообладатель – </w:t>
      </w: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лицо, обладающие исключительным правом на ПО и/или лица, правомерно обладающие на соответствующей территории всем тем необходимым объемом прав на использование ПО, включая право на предоставление разрешений на использование ПО (сублицензирование), который предоставляется Лицензиату по Договору.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/>
          <w:color w:val="000000"/>
          <w:sz w:val="12"/>
          <w:szCs w:val="12"/>
          <w:lang w:eastAsia="ru-RU"/>
        </w:rPr>
        <w:t>Лицензионное соглашение</w:t>
      </w: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 xml:space="preserve"> – соглашение между Правообладателем и Лицензиатом, которое предусматривает полномочия и ограничения использования Лицензиатом ПО, и условия которого безоговорочно принимаются Лицензиатом во время инсталляции ПО.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Verdana" w:hAnsi="Verdana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/>
          <w:color w:val="000000"/>
          <w:sz w:val="12"/>
          <w:szCs w:val="12"/>
          <w:lang w:eastAsia="ru-RU"/>
        </w:rPr>
        <w:t>Условия оферты: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1. Предметом лицензионного договора является предоставление Лицензиаром прав на использование указанного в Счете программного обеспечения для ЭВМ (ПО) и/или расширение прав на использование соответствующего ПО (Расширений).</w:t>
        <w:br/>
        <w:t>2. Вознаграждением Лицензиара по лицензионному договору является сумма, указанная в Счете.</w:t>
        <w:br/>
        <w:t xml:space="preserve">3. Существенным условием заключения лицензионного договора является полная единовременная оплата Лицензиатом настоящего Счета, которая будет считаться единственно возможным надлежащим акцептом данной оферты (п.3 ст.438 ГК РФ). </w:t>
      </w:r>
      <w:r>
        <w:rPr>
          <w:rFonts w:eastAsia="Times New Roman" w:cs="Times New Roman" w:ascii="Verdana" w:hAnsi="Verdana"/>
          <w:b/>
          <w:color w:val="000000"/>
          <w:sz w:val="12"/>
          <w:szCs w:val="12"/>
          <w:u w:val="single"/>
          <w:lang w:eastAsia="ru-RU"/>
        </w:rPr>
        <w:t>Оплата Счета без указания номера Счета в платежном поручении и/или третьим лицом не допускается</w:t>
      </w: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 xml:space="preserve"> и не считается акцептом настоящей оферты.</w:t>
        <w:br/>
        <w:t>4. Лицензиар гарантирует, что получил от Правообладателя и правомерно обладает всем необходимым объемом прав, который предоставляется Лицензиату по лицензионному договору.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5. </w:t>
      </w:r>
      <w:r>
        <w:rPr>
          <w:rFonts w:eastAsia="Times New Roman" w:cs="Times New Roman" w:ascii="Verdana" w:hAnsi="Verdana"/>
          <w:b/>
          <w:bCs/>
          <w:color w:val="000000"/>
          <w:sz w:val="12"/>
          <w:szCs w:val="12"/>
          <w:lang w:eastAsia="ru-RU"/>
        </w:rPr>
        <w:t>Счет действ</w:t>
      </w:r>
      <w:r>
        <w:rPr>
          <w:rFonts w:eastAsia="Times New Roman" w:cs="Times New Roman" w:ascii="Verdana" w:hAnsi="Verdana"/>
          <w:b/>
          <w:bCs/>
          <w:color w:val="000000"/>
          <w:sz w:val="12"/>
          <w:szCs w:val="12"/>
          <w:shd w:fill="FFFFFF" w:val="clear"/>
          <w:lang w:eastAsia="ru-RU"/>
        </w:rPr>
        <w:t>ителен в течение 30 (тридцати) календарных дней</w:t>
      </w:r>
      <w:r>
        <w:rPr>
          <w:rFonts w:eastAsia="Times New Roman" w:cs="Times New Roman" w:ascii="Verdana" w:hAnsi="Verdana"/>
          <w:color w:val="000000"/>
          <w:sz w:val="12"/>
          <w:szCs w:val="12"/>
          <w:shd w:fill="FFFFFF" w:val="clear"/>
          <w:lang w:eastAsia="ru-RU"/>
        </w:rPr>
        <w:t> с ука</w:t>
      </w: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занной в нем даты выставления (срок для акцепта оферты).</w:t>
        <w:br/>
        <w:t>6. Лицензиат обязуется не нарушать авторские права Правообладателя.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7. Права по настоящему лицензионному договору предоставляются с момента его заключения. Лицензиар составляет и направляет Лицензиату соответствующий Акт. В случае, если направленный Акт не подписан Лицензиатом и/или второй его экземпляр не возвращен Лицензиару, а письменные мотивированные возражения со стороны Лицензиата не получены Лицензиаром в течение 10 (десяти) рабочих дней, Акт считается утвержденным Лицензиатом.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8. Лицензиат имеет право в рамках каждой лицензии использовать одну копию ПО путем воспроизведения посредством инсталляции и/или запуска в порядке, предусмотренном пользовательским Лицензионным соглашением на соответствующее ПО, а также пользовательской (технической) документацией, и исключительно для самостоятельного использования Лицензиатом без права сублицензирования третьих лиц. Принимая настоящую оферту, Лицензиат подтверждает, что надлежащим образом ознакомлен и согласен с положениями, требованиями и ограничениями пользовательских Лицензионных соглашений, технической и иной документацией по всему соответствующему ПО, указанному в настоящем Счете.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9. </w:t>
      </w:r>
      <w:r>
        <w:rPr>
          <w:rFonts w:eastAsia="Times New Roman" w:cs="Times New Roman" w:ascii="Verdana" w:hAnsi="Verdana"/>
          <w:b/>
          <w:color w:val="000000"/>
          <w:sz w:val="12"/>
          <w:szCs w:val="12"/>
          <w:lang w:eastAsia="ru-RU"/>
        </w:rPr>
        <w:t>Срок, на который предоставляются права на использование ПО</w:t>
      </w: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, определяется следующим образом: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Cs/>
          <w:color w:val="000000"/>
          <w:sz w:val="12"/>
          <w:szCs w:val="12"/>
          <w:lang w:eastAsia="ru-RU"/>
        </w:rPr>
        <w:t xml:space="preserve">9.1. на ПО, </w:t>
      </w:r>
      <w:r>
        <w:rPr>
          <w:rFonts w:cs="Arial" w:ascii="Verdana" w:hAnsi="Verdana"/>
          <w:sz w:val="12"/>
          <w:szCs w:val="12"/>
        </w:rPr>
        <w:t>срок использования которых указан рядом с наименованием</w:t>
      </w:r>
      <w:r>
        <w:rPr>
          <w:rFonts w:cs="Arial" w:ascii="Verdana" w:hAnsi="Verdana"/>
          <w:sz w:val="12"/>
          <w:szCs w:val="12"/>
          <w:lang w:val="en-US"/>
        </w:rPr>
        <w:t xml:space="preserve"> -</w:t>
      </w:r>
      <w:bookmarkStart w:id="0" w:name="_GoBack"/>
      <w:bookmarkEnd w:id="0"/>
      <w:r>
        <w:rPr>
          <w:rFonts w:cs="Arial" w:ascii="Verdana" w:hAnsi="Verdana"/>
          <w:i/>
          <w:sz w:val="12"/>
          <w:szCs w:val="12"/>
        </w:rPr>
        <w:t xml:space="preserve"> </w:t>
      </w:r>
      <w:r>
        <w:rPr>
          <w:rFonts w:cs="Arial" w:ascii="Verdana" w:hAnsi="Verdana"/>
          <w:sz w:val="12"/>
          <w:szCs w:val="12"/>
        </w:rPr>
        <w:t>на соответствующий срок</w:t>
      </w:r>
      <w:r>
        <w:rPr>
          <w:rFonts w:eastAsia="Times New Roman" w:cs="Times New Roman" w:ascii="Verdana" w:hAnsi="Verdana"/>
          <w:bCs/>
          <w:color w:val="000000"/>
          <w:sz w:val="12"/>
          <w:szCs w:val="1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Cs/>
          <w:color w:val="000000"/>
          <w:sz w:val="12"/>
          <w:szCs w:val="12"/>
          <w:lang w:eastAsia="ru-RU"/>
        </w:rPr>
        <w:t xml:space="preserve">9.2. на ПО, </w:t>
      </w:r>
      <w:r>
        <w:rPr>
          <w:rFonts w:cs="Arial" w:ascii="Verdana" w:hAnsi="Verdana"/>
          <w:sz w:val="12"/>
          <w:szCs w:val="12"/>
        </w:rPr>
        <w:t>содержащие в наименовании «1С-Битрикс» - на срок один год на условиях Стандартной лицензии, изложенных в Лицензионном соглашении,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</w:t>
      </w:r>
      <w:r>
        <w:rPr>
          <w:rFonts w:eastAsia="Times New Roman" w:cs="Times New Roman" w:ascii="Verdana" w:hAnsi="Verdana"/>
          <w:bCs/>
          <w:color w:val="000000"/>
          <w:sz w:val="12"/>
          <w:szCs w:val="1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bCs/>
          <w:color w:val="000000"/>
          <w:sz w:val="12"/>
          <w:szCs w:val="12"/>
          <w:lang w:eastAsia="ru-RU"/>
        </w:rPr>
        <w:t>9.3. на остальное ПО – на весь срок действия исключительных прав на него (ст.1281 ГК РФ) и на условиях, изложенных в Лицензионном соглашении.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10. Порядок применения и использования Лицензиатом указанных в Счете Расширений определяется пользовательским Лицензионным соглашением на соответствующее ПО.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  <w:t>11. Любые споры, которые могут возникнуть между Лицензиаром и Лицензиатом в связи с настоящей офертой и/или лицензионным договором, подлежат рассмотрению по месту нахождения Лицензиара.</w:t>
      </w:r>
    </w:p>
    <w:p>
      <w:pPr>
        <w:pStyle w:val="Normal"/>
        <w:spacing w:lineRule="auto" w:line="240"/>
        <w:rPr>
          <w:rFonts w:ascii="Verdana" w:hAnsi="Verdana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 w:ascii="Verdana" w:hAnsi="Verdana"/>
          <w:color w:val="000000"/>
          <w:sz w:val="12"/>
          <w:szCs w:val="12"/>
          <w:lang w:eastAsia="ru-RU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1384"/>
        <w:gridCol w:w="4253"/>
        <w:gridCol w:w="2409"/>
        <w:gridCol w:w="284"/>
        <w:gridCol w:w="2352"/>
      </w:tblGrid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  <w:lang w:val="en-US"/>
              </w:rPr>
              <w:t>Поставщик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bottom w:w="113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</w:r>
          </w:p>
        </w:tc>
        <w:tc>
          <w:tcPr>
            <w:tcW w:w="235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bottom w:w="113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>
                <w:color w:val="000000" w:themeColor="text1"/>
                <w:szCs w:val="18"/>
                <w:shd w:fill="auto" w:val="clear"/>
                <w:lang w:val="en-US"/>
              </w:rPr>
              <w:t>Лазарев Е. М</w:t>
            </w:r>
          </w:p>
        </w:tc>
      </w:tr>
      <w:tr>
        <w:trPr/>
        <w:tc>
          <w:tcPr>
            <w:tcW w:w="13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color w:val="000000" w:themeColor="text1"/>
                <w:szCs w:val="18"/>
                <w:lang w:val="en-US"/>
              </w:rPr>
            </w:pPr>
            <w:r>
              <w:rPr>
                <w:color w:val="000000" w:themeColor="text1"/>
                <w:szCs w:val="18"/>
                <w:lang w:val="en-US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keepLines/>
              <w:spacing w:lineRule="auto" w:line="240"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>
      <w:pPr>
        <w:pStyle w:val="Normal"/>
        <w:keepNext/>
        <w:keepLines/>
        <w:spacing w:before="0" w:after="200"/>
        <w:rPr/>
      </w:pPr>
      <w:r>
        <w:rPr/>
        <w:tab/>
        <w:tab/>
        <w:tab/>
        <w:tab/>
        <w:t>Без печати</w:t>
      </w:r>
    </w:p>
    <w:sectPr>
      <w:footerReference w:type="default" r:id="rId3"/>
      <w:type w:val="nextPage"/>
      <w:pgSz w:w="11906" w:h="16838"/>
      <w:pgMar w:left="709" w:right="720" w:header="0" w:top="720" w:footer="227" w:bottom="7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из 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3c2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00000A"/>
      <w:sz w:val="1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d618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554418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554418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d61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567"/>
    <w:pPr>
      <w:spacing w:before="0" w:after="200"/>
      <w:ind w:left="720" w:hanging="0"/>
      <w:contextualSpacing/>
    </w:pPr>
    <w:rPr/>
  </w:style>
  <w:style w:type="paragraph" w:styleId="Style22">
    <w:name w:val="Верхний колонтитул"/>
    <w:basedOn w:val="Normal"/>
    <w:link w:val="a8"/>
    <w:uiPriority w:val="99"/>
    <w:semiHidden/>
    <w:unhideWhenUsed/>
    <w:rsid w:val="0055441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a"/>
    <w:uiPriority w:val="99"/>
    <w:unhideWhenUsed/>
    <w:rsid w:val="0055441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F126-CCAC-4C73-9E17-4ECF167F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Application>LibreOffice/4.4.2.2$Linux_X86_64 LibreOffice_project/40m0$Build-2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2012-03-11T05:24:00Z</dcterms:created>
  <dc:creator>Эльба e-kontur.ru</dc:creator>
  <dc:language>ru-RU</dc:language>
  <dcterms:modified xsi:type="dcterms:W3CDTF">2016-07-19T17:16:18Z</dcterms:modified>
  <cp:revision>381</cp:revision>
  <dc:title>Счет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